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3013DF">
        <w:rPr>
          <w:rFonts w:ascii="Calibri" w:hAnsi="Calibri" w:cs="Arial"/>
          <w:b/>
          <w:bCs/>
          <w:iCs/>
          <w:color w:val="7F7F7F" w:themeColor="text1" w:themeTint="80"/>
          <w:sz w:val="26"/>
          <w:szCs w:val="26"/>
        </w:rPr>
        <w:t>2</w:t>
      </w:r>
      <w:r w:rsidR="00672F84">
        <w:rPr>
          <w:rFonts w:ascii="Calibri" w:hAnsi="Calibri" w:cs="Arial"/>
          <w:b/>
          <w:bCs/>
          <w:iCs/>
          <w:color w:val="7F7F7F" w:themeColor="text1" w:themeTint="80"/>
          <w:sz w:val="26"/>
          <w:szCs w:val="26"/>
        </w:rPr>
        <w:t xml:space="preserve">1 </w:t>
      </w:r>
      <w:r w:rsidR="003013DF">
        <w:rPr>
          <w:rFonts w:ascii="Calibri" w:hAnsi="Calibri" w:cs="Arial"/>
          <w:b/>
          <w:bCs/>
          <w:iCs/>
          <w:color w:val="7F7F7F" w:themeColor="text1" w:themeTint="80"/>
          <w:sz w:val="26"/>
          <w:szCs w:val="26"/>
        </w:rPr>
        <w:t>v</w:t>
      </w:r>
      <w:r w:rsidR="00672F84">
        <w:rPr>
          <w:rFonts w:ascii="Calibri" w:hAnsi="Calibri" w:cs="Arial"/>
          <w:b/>
          <w:bCs/>
          <w:iCs/>
          <w:color w:val="7F7F7F" w:themeColor="text1" w:themeTint="80"/>
          <w:sz w:val="26"/>
          <w:szCs w:val="26"/>
        </w:rPr>
        <w:t>ei</w:t>
      </w:r>
      <w:r w:rsidR="003013DF">
        <w:rPr>
          <w:rFonts w:ascii="Calibri" w:hAnsi="Calibri" w:cs="Arial"/>
          <w:b/>
          <w:bCs/>
          <w:iCs/>
          <w:color w:val="7F7F7F" w:themeColor="text1" w:themeTint="80"/>
          <w:sz w:val="26"/>
          <w:szCs w:val="26"/>
        </w:rPr>
        <w:t>ntiuno</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672F84">
        <w:rPr>
          <w:rFonts w:ascii="Calibri" w:hAnsi="Calibri" w:cs="Arial"/>
          <w:b/>
          <w:color w:val="7F7F7F" w:themeColor="text1" w:themeTint="80"/>
          <w:sz w:val="26"/>
          <w:szCs w:val="26"/>
        </w:rPr>
        <w:t>944/2015-JN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8B301B">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3013DF">
        <w:rPr>
          <w:rFonts w:ascii="Calibri" w:hAnsi="Calibri" w:cs="Arial"/>
          <w:color w:val="7F7F7F" w:themeColor="text1" w:themeTint="80"/>
          <w:sz w:val="26"/>
          <w:szCs w:val="26"/>
        </w:rPr>
        <w:t>.</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toda vez que</w:t>
      </w:r>
      <w:r w:rsidR="00836FB8">
        <w:rPr>
          <w:rFonts w:ascii="Calibri" w:hAnsi="Calibri" w:cs="Arial"/>
          <w:color w:val="7F7F7F" w:themeColor="text1" w:themeTint="80"/>
          <w:sz w:val="26"/>
          <w:szCs w:val="27"/>
        </w:rPr>
        <w:t xml:space="preserve">, de acuerdo al cómputo efectuado, </w:t>
      </w:r>
      <w:r w:rsidRPr="00BF5CA7">
        <w:rPr>
          <w:rFonts w:ascii="Calibri" w:hAnsi="Calibri" w:cs="Arial"/>
          <w:color w:val="7F7F7F" w:themeColor="text1" w:themeTint="80"/>
          <w:sz w:val="26"/>
          <w:szCs w:val="27"/>
        </w:rPr>
        <w:t xml:space="preserve">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72F84">
        <w:rPr>
          <w:rFonts w:ascii="Calibri" w:hAnsi="Calibri" w:cs="Arial"/>
          <w:color w:val="7F7F7F" w:themeColor="text1" w:themeTint="80"/>
          <w:sz w:val="26"/>
          <w:szCs w:val="26"/>
        </w:rPr>
        <w:t>22 veintidós de septiembre</w:t>
      </w:r>
      <w:r w:rsidR="0083431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230C3D">
        <w:rPr>
          <w:rFonts w:ascii="Calibri" w:hAnsi="Calibri"/>
          <w:color w:val="7F7F7F" w:themeColor="text1" w:themeTint="80"/>
          <w:sz w:val="26"/>
          <w:szCs w:val="26"/>
        </w:rPr>
        <w:t>. . . . . . . . . . . . . . . . . . . . . . . . . . . . . . . . .</w:t>
      </w:r>
    </w:p>
    <w:p w:rsidR="00F85970" w:rsidRDefault="00F85970" w:rsidP="00F85970">
      <w:pPr>
        <w:jc w:val="both"/>
        <w:rPr>
          <w:rFonts w:ascii="Calibri" w:hAnsi="Calibri"/>
          <w:b/>
          <w:i/>
          <w:iCs/>
          <w:color w:val="7F7F7F" w:themeColor="text1" w:themeTint="80"/>
          <w:sz w:val="26"/>
          <w:szCs w:val="26"/>
        </w:rPr>
      </w:pPr>
    </w:p>
    <w:p w:rsidR="00F85970" w:rsidRDefault="00F85970" w:rsidP="00F85970">
      <w:pPr>
        <w:jc w:val="both"/>
        <w:rPr>
          <w:rFonts w:ascii="Calibri" w:hAnsi="Calibri"/>
          <w:b/>
          <w:i/>
          <w:iCs/>
          <w:color w:val="7F7F7F" w:themeColor="text1" w:themeTint="80"/>
          <w:sz w:val="26"/>
          <w:szCs w:val="26"/>
        </w:rPr>
      </w:pPr>
    </w:p>
    <w:p w:rsidR="00F85970" w:rsidRDefault="00F85970" w:rsidP="00F8597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944/2015-JN</w:t>
      </w:r>
    </w:p>
    <w:p w:rsidR="00F85970" w:rsidRDefault="00F85970" w:rsidP="00F85970">
      <w:pPr>
        <w:jc w:val="both"/>
        <w:rPr>
          <w:rFonts w:ascii="Calibri" w:hAnsi="Calibri"/>
          <w:b/>
          <w:i/>
          <w:iCs/>
          <w:color w:val="7F7F7F" w:themeColor="text1" w:themeTint="80"/>
          <w:sz w:val="26"/>
          <w:szCs w:val="26"/>
        </w:rPr>
      </w:pPr>
    </w:p>
    <w:p w:rsidR="004B3DFC" w:rsidRPr="002723B0" w:rsidRDefault="004B3DFC" w:rsidP="00F85970">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de </w:t>
      </w:r>
      <w:r w:rsidR="000022A1">
        <w:rPr>
          <w:rFonts w:ascii="Calibri" w:hAnsi="Calibri" w:cs="Calibri"/>
          <w:color w:val="7F7F7F" w:themeColor="text1" w:themeTint="80"/>
          <w:sz w:val="26"/>
          <w:szCs w:val="26"/>
        </w:rPr>
        <w:t xml:space="preserve">fecha </w:t>
      </w:r>
      <w:r w:rsidR="00CC7A98">
        <w:rPr>
          <w:rFonts w:ascii="Calibri" w:hAnsi="Calibri" w:cs="Calibri"/>
          <w:color w:val="7F7F7F" w:themeColor="text1" w:themeTint="80"/>
          <w:sz w:val="26"/>
          <w:szCs w:val="26"/>
        </w:rPr>
        <w:t xml:space="preserve">18 dieciocho </w:t>
      </w:r>
      <w:r w:rsidR="00672F84">
        <w:rPr>
          <w:rFonts w:ascii="Calibri" w:hAnsi="Calibri" w:cs="Calibri"/>
          <w:color w:val="7F7F7F" w:themeColor="text1" w:themeTint="80"/>
          <w:sz w:val="26"/>
          <w:szCs w:val="26"/>
        </w:rPr>
        <w:t xml:space="preserve"> de septiembre</w:t>
      </w:r>
      <w:r w:rsidR="000022A1">
        <w:rPr>
          <w:rFonts w:ascii="Calibri" w:hAnsi="Calibri" w:cs="Calibri"/>
          <w:color w:val="7F7F7F" w:themeColor="text1" w:themeTint="80"/>
          <w:sz w:val="26"/>
          <w:szCs w:val="26"/>
        </w:rPr>
        <w:t xml:space="preserve"> del 2015 dos mil quince</w:t>
      </w:r>
      <w:r w:rsidR="00CC7A98">
        <w:rPr>
          <w:rFonts w:ascii="Calibri" w:hAnsi="Calibri" w:cs="Calibri"/>
          <w:color w:val="7F7F7F" w:themeColor="text1" w:themeTint="80"/>
          <w:sz w:val="26"/>
          <w:szCs w:val="26"/>
        </w:rPr>
        <w:t>, el primero y del 22 veintidós del mismo mes y año, los restantes</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2919BC">
        <w:rPr>
          <w:rFonts w:ascii="Calibri" w:hAnsi="Calibri"/>
          <w:color w:val="7F7F7F" w:themeColor="text1" w:themeTint="80"/>
          <w:sz w:val="26"/>
          <w:szCs w:val="26"/>
        </w:rPr>
        <w:t>DGFC/DT/</w:t>
      </w:r>
      <w:r w:rsidR="00672F84">
        <w:rPr>
          <w:rFonts w:ascii="Calibri" w:hAnsi="Calibri"/>
          <w:color w:val="7F7F7F" w:themeColor="text1" w:themeTint="80"/>
          <w:sz w:val="26"/>
          <w:szCs w:val="26"/>
        </w:rPr>
        <w:t>0633</w:t>
      </w:r>
      <w:r w:rsidR="002919BC">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F06D4E">
        <w:rPr>
          <w:rFonts w:ascii="Calibri" w:hAnsi="Calibri"/>
          <w:color w:val="7F7F7F" w:themeColor="text1" w:themeTint="80"/>
          <w:sz w:val="26"/>
          <w:szCs w:val="26"/>
        </w:rPr>
        <w:t>que la dependencia a su cargo, llevó a cabo las actuaciones relativas al expediente líneas arriba citado</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lastRenderedPageBreak/>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r w:rsidR="008A6BCD">
        <w:rPr>
          <w:rFonts w:ascii="Calibri" w:hAnsi="Calibri"/>
          <w:color w:val="7F7F7F" w:themeColor="text1" w:themeTint="80"/>
          <w:sz w:val="26"/>
          <w:szCs w:val="26"/>
        </w:rPr>
        <w:t>.</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E86F70">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BE247E" w:rsidRPr="00BE247E"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Asentado lo anterior, se advierte que en el presente proceso, el Director General de Fiscalización y Control, exterioriz</w:t>
      </w:r>
      <w:r w:rsidR="00F06D4E">
        <w:rPr>
          <w:rFonts w:ascii="Calibri" w:hAnsi="Calibri"/>
          <w:bCs/>
          <w:iCs/>
          <w:color w:val="7F7F7F" w:themeColor="text1" w:themeTint="80"/>
          <w:sz w:val="26"/>
          <w:szCs w:val="26"/>
        </w:rPr>
        <w:t>ó</w:t>
      </w:r>
      <w:r w:rsidRPr="00BE247E">
        <w:rPr>
          <w:rFonts w:ascii="Calibri" w:hAnsi="Calibri"/>
          <w:bCs/>
          <w:iCs/>
          <w:color w:val="7F7F7F" w:themeColor="text1" w:themeTint="80"/>
          <w:sz w:val="26"/>
          <w:szCs w:val="26"/>
        </w:rPr>
        <w:t xml:space="preserve"> que el proceso es improcedente; aduciendo que se actualiza las causales previstas en el artículo 261, en sus fracciones I y VII, esta última concatenada con el artículo 251, del Código de Procedimiento y Justicia Administrativa antes citado; al referir, </w:t>
      </w:r>
      <w:r w:rsidR="00835A2D" w:rsidRPr="00835A2D">
        <w:rPr>
          <w:rFonts w:ascii="Calibri" w:hAnsi="Calibri"/>
          <w:bCs/>
          <w:i/>
          <w:iCs/>
          <w:color w:val="7F7F7F" w:themeColor="text1" w:themeTint="80"/>
          <w:sz w:val="26"/>
          <w:szCs w:val="26"/>
        </w:rPr>
        <w:t>“</w:t>
      </w:r>
      <w:r w:rsidRPr="00835A2D">
        <w:rPr>
          <w:rFonts w:ascii="Calibri" w:hAnsi="Calibri"/>
          <w:bCs/>
          <w:i/>
          <w:iCs/>
          <w:color w:val="7F7F7F" w:themeColor="text1" w:themeTint="80"/>
          <w:sz w:val="26"/>
          <w:szCs w:val="26"/>
        </w:rPr>
        <w:t>grosso modo</w:t>
      </w:r>
      <w:r w:rsidR="00835A2D" w:rsidRPr="00835A2D">
        <w:rPr>
          <w:rFonts w:ascii="Calibri" w:hAnsi="Calibri"/>
          <w:bCs/>
          <w:i/>
          <w:iCs/>
          <w:color w:val="7F7F7F" w:themeColor="text1" w:themeTint="80"/>
          <w:sz w:val="26"/>
          <w:szCs w:val="26"/>
        </w:rPr>
        <w:t>”</w:t>
      </w:r>
      <w:r w:rsidRPr="00835A2D">
        <w:rPr>
          <w:rFonts w:ascii="Calibri" w:hAnsi="Calibri"/>
          <w:bCs/>
          <w:i/>
          <w:iCs/>
          <w:color w:val="7F7F7F" w:themeColor="text1" w:themeTint="80"/>
          <w:sz w:val="26"/>
          <w:szCs w:val="26"/>
        </w:rPr>
        <w:t>,</w:t>
      </w:r>
      <w:r w:rsidRPr="00BE247E">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835A2D">
        <w:rPr>
          <w:rFonts w:ascii="Calibri" w:hAnsi="Calibri"/>
          <w:bCs/>
          <w:iCs/>
          <w:color w:val="7F7F7F" w:themeColor="text1" w:themeTint="80"/>
          <w:sz w:val="26"/>
          <w:szCs w:val="26"/>
        </w:rPr>
        <w:t xml:space="preserve">. . . . . . . . . . . . . . . . . . . . . . . . . . </w:t>
      </w:r>
    </w:p>
    <w:p w:rsidR="00BE247E" w:rsidRPr="00BE247E" w:rsidRDefault="00BE247E" w:rsidP="00BE247E">
      <w:pPr>
        <w:ind w:firstLine="708"/>
        <w:jc w:val="both"/>
        <w:rPr>
          <w:rFonts w:ascii="Calibri" w:hAnsi="Calibri"/>
          <w:bCs/>
          <w:iCs/>
          <w:color w:val="7F7F7F" w:themeColor="text1" w:themeTint="80"/>
          <w:sz w:val="26"/>
          <w:szCs w:val="26"/>
        </w:rPr>
      </w:pPr>
    </w:p>
    <w:p w:rsidR="00BE247E" w:rsidRDefault="00BE247E" w:rsidP="00031C0C">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Causales de improcedencia que, para quien resuelve, </w:t>
      </w:r>
      <w:r w:rsidRPr="00BE247E">
        <w:rPr>
          <w:rFonts w:ascii="Calibri" w:hAnsi="Calibri"/>
          <w:b/>
          <w:bCs/>
          <w:iCs/>
          <w:color w:val="7F7F7F" w:themeColor="text1" w:themeTint="80"/>
          <w:sz w:val="26"/>
          <w:szCs w:val="26"/>
        </w:rPr>
        <w:t>no se actualizan</w:t>
      </w:r>
      <w:r w:rsidRPr="00BE247E">
        <w:rPr>
          <w:rFonts w:ascii="Calibri" w:hAnsi="Calibri"/>
          <w:bCs/>
          <w:iCs/>
          <w:color w:val="7F7F7F" w:themeColor="text1" w:themeTint="80"/>
          <w:sz w:val="26"/>
          <w:szCs w:val="26"/>
        </w:rPr>
        <w:t>; pues sí se afectan los intereses jurídicos de</w:t>
      </w:r>
      <w:r>
        <w:rPr>
          <w:rFonts w:ascii="Calibri" w:hAnsi="Calibri"/>
          <w:bCs/>
          <w:iCs/>
          <w:color w:val="7F7F7F" w:themeColor="text1" w:themeTint="80"/>
          <w:sz w:val="26"/>
          <w:szCs w:val="26"/>
        </w:rPr>
        <w:t xml:space="preserve"> la</w:t>
      </w:r>
      <w:r w:rsidRPr="00BE247E">
        <w:rPr>
          <w:rFonts w:ascii="Calibri" w:hAnsi="Calibri"/>
          <w:bCs/>
          <w:iCs/>
          <w:color w:val="7F7F7F" w:themeColor="text1" w:themeTint="80"/>
          <w:sz w:val="26"/>
          <w:szCs w:val="26"/>
        </w:rPr>
        <w:t xml:space="preserve"> impetrante; toda vez que </w:t>
      </w:r>
      <w:r w:rsidR="00A06876">
        <w:rPr>
          <w:rFonts w:ascii="Calibri" w:hAnsi="Calibri"/>
          <w:bCs/>
          <w:iCs/>
          <w:color w:val="7F7F7F" w:themeColor="text1" w:themeTint="80"/>
          <w:sz w:val="26"/>
          <w:szCs w:val="26"/>
        </w:rPr>
        <w:t xml:space="preserve">si bien es cierto, se emitió la orden dirigida a nombre de la ciudadana </w:t>
      </w:r>
      <w:r w:rsidR="00A06876" w:rsidRPr="00A06876">
        <w:rPr>
          <w:rFonts w:ascii="Calibri" w:hAnsi="Calibri"/>
          <w:bCs/>
          <w:i/>
          <w:iCs/>
          <w:color w:val="7F7F7F" w:themeColor="text1" w:themeTint="80"/>
          <w:sz w:val="26"/>
          <w:szCs w:val="26"/>
        </w:rPr>
        <w:t>“</w:t>
      </w:r>
      <w:proofErr w:type="spellStart"/>
      <w:r w:rsidR="00A06876" w:rsidRPr="00A06876">
        <w:rPr>
          <w:rFonts w:ascii="Calibri" w:hAnsi="Calibri"/>
          <w:bCs/>
          <w:i/>
          <w:iCs/>
          <w:color w:val="7F7F7F" w:themeColor="text1" w:themeTint="80"/>
          <w:sz w:val="26"/>
          <w:szCs w:val="26"/>
        </w:rPr>
        <w:t>Angela</w:t>
      </w:r>
      <w:proofErr w:type="spellEnd"/>
      <w:r w:rsidR="00A06876" w:rsidRPr="00A06876">
        <w:rPr>
          <w:rFonts w:ascii="Calibri" w:hAnsi="Calibri"/>
          <w:bCs/>
          <w:i/>
          <w:iCs/>
          <w:color w:val="7F7F7F" w:themeColor="text1" w:themeTint="80"/>
          <w:sz w:val="26"/>
          <w:szCs w:val="26"/>
        </w:rPr>
        <w:t xml:space="preserve"> Morales”,</w:t>
      </w:r>
      <w:r w:rsidR="00A06876">
        <w:rPr>
          <w:rFonts w:ascii="Calibri" w:hAnsi="Calibri"/>
          <w:bCs/>
          <w:iCs/>
          <w:color w:val="7F7F7F" w:themeColor="text1" w:themeTint="80"/>
          <w:sz w:val="26"/>
          <w:szCs w:val="26"/>
        </w:rPr>
        <w:t xml:space="preserve"> también lo es que se dirigió además al propietario (a), administrador (a) o encargado (a) del establecimiento a visitar; siendo la impetrante, la ciudadana </w:t>
      </w:r>
      <w:r w:rsidR="008B301B">
        <w:rPr>
          <w:rFonts w:ascii="Calibri" w:hAnsi="Calibri"/>
          <w:bCs/>
          <w:iCs/>
          <w:color w:val="7F7F7F" w:themeColor="text1" w:themeTint="80"/>
          <w:sz w:val="26"/>
          <w:szCs w:val="26"/>
        </w:rPr>
        <w:t>*****</w:t>
      </w:r>
      <w:r w:rsidR="00A06876">
        <w:rPr>
          <w:rFonts w:ascii="Calibri" w:hAnsi="Calibri"/>
          <w:bCs/>
          <w:iCs/>
          <w:color w:val="7F7F7F" w:themeColor="text1" w:themeTint="80"/>
          <w:sz w:val="26"/>
          <w:szCs w:val="26"/>
        </w:rPr>
        <w:t xml:space="preserve"> la encargada del mismo, como se advierte del acta de visita de inspección realizada en esa misma fecha;</w:t>
      </w:r>
      <w:r w:rsidRPr="00BE247E">
        <w:rPr>
          <w:rFonts w:ascii="Calibri" w:hAnsi="Calibri"/>
          <w:bCs/>
          <w:iCs/>
          <w:color w:val="7F7F7F" w:themeColor="text1" w:themeTint="80"/>
          <w:sz w:val="26"/>
          <w:szCs w:val="26"/>
        </w:rPr>
        <w:t xml:space="preserve"> por l</w:t>
      </w:r>
      <w:r w:rsidR="00031C0C">
        <w:rPr>
          <w:rFonts w:ascii="Calibri" w:hAnsi="Calibri"/>
          <w:bCs/>
          <w:iCs/>
          <w:color w:val="7F7F7F" w:themeColor="text1" w:themeTint="80"/>
          <w:sz w:val="26"/>
          <w:szCs w:val="26"/>
        </w:rPr>
        <w:t>o que l</w:t>
      </w:r>
      <w:r w:rsidRPr="00BE247E">
        <w:rPr>
          <w:rFonts w:ascii="Calibri" w:hAnsi="Calibri"/>
          <w:bCs/>
          <w:iCs/>
          <w:color w:val="7F7F7F" w:themeColor="text1" w:themeTint="80"/>
          <w:sz w:val="26"/>
          <w:szCs w:val="26"/>
        </w:rPr>
        <w:t xml:space="preserve">a Dirección General de Fiscalización y Control, </w:t>
      </w:r>
      <w:r w:rsidR="00031C0C">
        <w:rPr>
          <w:rFonts w:ascii="Calibri" w:hAnsi="Calibri"/>
          <w:bCs/>
          <w:iCs/>
          <w:color w:val="7F7F7F" w:themeColor="text1" w:themeTint="80"/>
          <w:sz w:val="26"/>
          <w:szCs w:val="26"/>
        </w:rPr>
        <w:t xml:space="preserve">podría </w:t>
      </w:r>
      <w:r w:rsidR="00F06D4E">
        <w:rPr>
          <w:rFonts w:ascii="Calibri" w:hAnsi="Calibri"/>
          <w:bCs/>
          <w:iCs/>
          <w:color w:val="7F7F7F" w:themeColor="text1" w:themeTint="80"/>
          <w:sz w:val="26"/>
          <w:szCs w:val="26"/>
        </w:rPr>
        <w:t>eventualmente</w:t>
      </w:r>
      <w:r w:rsidRPr="00BE247E">
        <w:rPr>
          <w:rFonts w:ascii="Calibri" w:hAnsi="Calibri"/>
          <w:bCs/>
          <w:iCs/>
          <w:color w:val="7F7F7F" w:themeColor="text1" w:themeTint="80"/>
          <w:sz w:val="26"/>
          <w:szCs w:val="26"/>
        </w:rPr>
        <w:t xml:space="preserve">, </w:t>
      </w:r>
      <w:r w:rsidR="00F06D4E">
        <w:rPr>
          <w:rFonts w:ascii="Calibri" w:hAnsi="Calibri"/>
          <w:bCs/>
          <w:iCs/>
          <w:color w:val="7F7F7F" w:themeColor="text1" w:themeTint="80"/>
          <w:sz w:val="26"/>
          <w:szCs w:val="26"/>
        </w:rPr>
        <w:t xml:space="preserve">imponer </w:t>
      </w:r>
      <w:r w:rsidRPr="00BE247E">
        <w:rPr>
          <w:rFonts w:ascii="Calibri" w:hAnsi="Calibri"/>
          <w:bCs/>
          <w:iCs/>
          <w:color w:val="7F7F7F" w:themeColor="text1" w:themeTint="80"/>
          <w:sz w:val="26"/>
          <w:szCs w:val="26"/>
        </w:rPr>
        <w:t xml:space="preserve">una sanción, además de que se clausuró una máquina de juegos de azar que se encontraba al interior del establecimiento visitado, lo que sí afecta la </w:t>
      </w:r>
      <w:r>
        <w:rPr>
          <w:rFonts w:ascii="Calibri" w:hAnsi="Calibri"/>
          <w:bCs/>
          <w:iCs/>
          <w:color w:val="7F7F7F" w:themeColor="text1" w:themeTint="80"/>
          <w:sz w:val="26"/>
          <w:szCs w:val="26"/>
        </w:rPr>
        <w:t>esfera de derechos de la</w:t>
      </w:r>
      <w:r w:rsidRPr="00BE247E">
        <w:rPr>
          <w:rFonts w:ascii="Calibri" w:hAnsi="Calibri"/>
          <w:bCs/>
          <w:iCs/>
          <w:color w:val="7F7F7F" w:themeColor="text1" w:themeTint="80"/>
          <w:sz w:val="26"/>
          <w:szCs w:val="26"/>
        </w:rPr>
        <w:t xml:space="preserve"> actor</w:t>
      </w:r>
      <w:r>
        <w:rPr>
          <w:rFonts w:ascii="Calibri" w:hAnsi="Calibri"/>
          <w:bCs/>
          <w:iCs/>
          <w:color w:val="7F7F7F" w:themeColor="text1" w:themeTint="80"/>
          <w:sz w:val="26"/>
          <w:szCs w:val="26"/>
        </w:rPr>
        <w:t>a</w:t>
      </w:r>
      <w:r w:rsidRPr="00BE247E">
        <w:rPr>
          <w:rFonts w:ascii="Calibri" w:hAnsi="Calibri"/>
          <w:bCs/>
          <w:iCs/>
          <w:color w:val="7F7F7F" w:themeColor="text1" w:themeTint="80"/>
          <w:sz w:val="26"/>
          <w:szCs w:val="26"/>
        </w:rPr>
        <w:t xml:space="preserve">, sobre todo porque se considera que pudiera existir violación al derecho humano al debido proceso; por lo que al no prosperar las causales de improcedencia señaladas, ésta sí se encuentra legitimada para promover el proceso que nos ocupa. . . . . . . . . . . . . . . </w:t>
      </w:r>
      <w:r w:rsidR="00031C0C">
        <w:rPr>
          <w:rFonts w:ascii="Calibri" w:hAnsi="Calibri"/>
          <w:bCs/>
          <w:iCs/>
          <w:color w:val="7F7F7F" w:themeColor="text1" w:themeTint="80"/>
          <w:sz w:val="26"/>
          <w:szCs w:val="26"/>
        </w:rPr>
        <w:t xml:space="preserve">. </w:t>
      </w:r>
    </w:p>
    <w:p w:rsidR="00F06D4E" w:rsidRDefault="00F06D4E" w:rsidP="00BE247E">
      <w:pPr>
        <w:ind w:firstLine="708"/>
        <w:jc w:val="both"/>
        <w:rPr>
          <w:rFonts w:ascii="Calibri" w:hAnsi="Calibri"/>
          <w:bCs/>
          <w:iCs/>
          <w:color w:val="7F7F7F" w:themeColor="text1" w:themeTint="80"/>
          <w:sz w:val="26"/>
          <w:szCs w:val="26"/>
        </w:rPr>
      </w:pPr>
    </w:p>
    <w:p w:rsidR="00F06D4E" w:rsidRPr="00F06D4E" w:rsidRDefault="00F06D4E" w:rsidP="00BE247E">
      <w:pPr>
        <w:ind w:firstLine="708"/>
        <w:jc w:val="both"/>
        <w:rPr>
          <w:rFonts w:ascii="Calibri" w:hAnsi="Calibri"/>
          <w:bCs/>
          <w:iCs/>
          <w:color w:val="7F7F7F" w:themeColor="text1" w:themeTint="80"/>
          <w:sz w:val="26"/>
          <w:szCs w:val="26"/>
        </w:rPr>
      </w:pPr>
      <w:r>
        <w:rPr>
          <w:rFonts w:ascii="Calibri" w:hAnsi="Calibri"/>
          <w:bCs/>
          <w:iCs/>
          <w:color w:val="7F7F7F" w:themeColor="text1" w:themeTint="80"/>
          <w:sz w:val="26"/>
          <w:szCs w:val="26"/>
        </w:rPr>
        <w:t xml:space="preserve">Por otra parte, el Director encausado también argumento, como causal de improcedencia, el consentimiento tácito de los actos impugnados, lo que este juzgador considera </w:t>
      </w:r>
      <w:r w:rsidRPr="00F06D4E">
        <w:rPr>
          <w:rFonts w:ascii="Calibri" w:hAnsi="Calibri"/>
          <w:b/>
          <w:bCs/>
          <w:iCs/>
          <w:color w:val="7F7F7F" w:themeColor="text1" w:themeTint="80"/>
          <w:sz w:val="26"/>
          <w:szCs w:val="26"/>
        </w:rPr>
        <w:t>infundado</w:t>
      </w:r>
      <w:r>
        <w:rPr>
          <w:rFonts w:ascii="Calibri" w:hAnsi="Calibri"/>
          <w:bCs/>
          <w:iCs/>
          <w:color w:val="7F7F7F" w:themeColor="text1" w:themeTint="80"/>
          <w:sz w:val="26"/>
          <w:szCs w:val="26"/>
        </w:rPr>
        <w:t xml:space="preserve">, pues como ya </w:t>
      </w:r>
      <w:r w:rsidR="0098432D">
        <w:rPr>
          <w:rFonts w:ascii="Calibri" w:hAnsi="Calibri"/>
          <w:bCs/>
          <w:iCs/>
          <w:color w:val="7F7F7F" w:themeColor="text1" w:themeTint="80"/>
          <w:sz w:val="26"/>
          <w:szCs w:val="26"/>
        </w:rPr>
        <w:t>estableció</w:t>
      </w:r>
      <w:r>
        <w:rPr>
          <w:rFonts w:ascii="Calibri" w:hAnsi="Calibri"/>
          <w:bCs/>
          <w:iCs/>
          <w:color w:val="7F7F7F" w:themeColor="text1" w:themeTint="80"/>
          <w:sz w:val="26"/>
          <w:szCs w:val="26"/>
        </w:rPr>
        <w:t xml:space="preserve"> en el considerando Segundo, habiéndose realizado el cómputo correspondiente, la demanda fue presentada en tiempo, de ahí que </w:t>
      </w:r>
      <w:r w:rsidRPr="00F06D4E">
        <w:rPr>
          <w:rFonts w:ascii="Calibri" w:hAnsi="Calibri"/>
          <w:b/>
          <w:bCs/>
          <w:iCs/>
          <w:color w:val="7F7F7F" w:themeColor="text1" w:themeTint="80"/>
          <w:sz w:val="26"/>
          <w:szCs w:val="26"/>
        </w:rPr>
        <w:t>no se actualice</w:t>
      </w:r>
      <w:r>
        <w:rPr>
          <w:rFonts w:ascii="Calibri" w:hAnsi="Calibri"/>
          <w:bCs/>
          <w:iCs/>
          <w:color w:val="7F7F7F" w:themeColor="text1" w:themeTint="80"/>
          <w:sz w:val="26"/>
          <w:szCs w:val="26"/>
        </w:rPr>
        <w:t xml:space="preserve"> la causal invocada por el demandado </w:t>
      </w:r>
      <w:r w:rsidR="00031C0C">
        <w:rPr>
          <w:rFonts w:ascii="Calibri" w:hAnsi="Calibri"/>
          <w:bCs/>
          <w:iCs/>
          <w:color w:val="7F7F7F" w:themeColor="text1" w:themeTint="80"/>
          <w:sz w:val="26"/>
          <w:szCs w:val="26"/>
        </w:rPr>
        <w:t xml:space="preserve">. . . . . . . . . . . . . . . . . . . . . . . . . . . . . . . . . . . . . . . . . . . . . . . . . . . . . . . . . . . </w:t>
      </w:r>
    </w:p>
    <w:p w:rsidR="00BE247E" w:rsidRPr="00BE247E" w:rsidRDefault="00BE247E" w:rsidP="00BE247E">
      <w:pPr>
        <w:ind w:firstLine="708"/>
        <w:jc w:val="both"/>
        <w:rPr>
          <w:rFonts w:ascii="Calibri" w:hAnsi="Calibri"/>
          <w:bCs/>
          <w:iCs/>
          <w:color w:val="7F7F7F" w:themeColor="text1" w:themeTint="80"/>
          <w:sz w:val="26"/>
          <w:szCs w:val="26"/>
        </w:rPr>
      </w:pPr>
    </w:p>
    <w:p w:rsidR="00E50512" w:rsidRPr="00E50512" w:rsidRDefault="00BE247E" w:rsidP="00BE247E">
      <w:pPr>
        <w:ind w:firstLine="708"/>
        <w:jc w:val="both"/>
        <w:rPr>
          <w:rFonts w:ascii="Calibri" w:hAnsi="Calibri"/>
          <w:bCs/>
          <w:iCs/>
          <w:color w:val="7F7F7F" w:themeColor="text1" w:themeTint="80"/>
          <w:sz w:val="26"/>
          <w:szCs w:val="26"/>
        </w:rPr>
      </w:pPr>
      <w:r w:rsidRPr="00BE247E">
        <w:rPr>
          <w:rFonts w:ascii="Calibri" w:hAnsi="Calibri"/>
          <w:bCs/>
          <w:iCs/>
          <w:color w:val="7F7F7F" w:themeColor="text1" w:themeTint="80"/>
          <w:sz w:val="26"/>
          <w:szCs w:val="26"/>
        </w:rPr>
        <w:t xml:space="preserve">Continuando con el análisis de las causales de improcedencia o sobreseimiento, de manera oficiosa, este Juzgador </w:t>
      </w:r>
      <w:r w:rsidRPr="00BE247E">
        <w:rPr>
          <w:rFonts w:ascii="Calibri" w:hAnsi="Calibri"/>
          <w:b/>
          <w:bCs/>
          <w:iCs/>
          <w:color w:val="7F7F7F" w:themeColor="text1" w:themeTint="80"/>
          <w:sz w:val="26"/>
          <w:szCs w:val="26"/>
        </w:rPr>
        <w:t>no percibe la actualización</w:t>
      </w:r>
      <w:r w:rsidRPr="00BE247E">
        <w:rPr>
          <w:rFonts w:ascii="Calibri" w:hAnsi="Calibri"/>
          <w:bCs/>
          <w:iCs/>
          <w:color w:val="7F7F7F" w:themeColor="text1" w:themeTint="80"/>
          <w:sz w:val="26"/>
          <w:szCs w:val="26"/>
        </w:rPr>
        <w:t xml:space="preserve"> de alguna que impida el estudio de fondo de la presente causa administrativa, respecto de los actos impugnados consistentes en la orden de visita de </w:t>
      </w:r>
      <w:r w:rsidRPr="00BE247E">
        <w:rPr>
          <w:rFonts w:ascii="Calibri" w:hAnsi="Calibri"/>
          <w:bCs/>
          <w:iCs/>
          <w:color w:val="7F7F7F" w:themeColor="text1" w:themeTint="80"/>
          <w:sz w:val="26"/>
          <w:szCs w:val="26"/>
        </w:rPr>
        <w:lastRenderedPageBreak/>
        <w:t>inspección, el acta de visita de inspección, la orden de clausura y, el acta circunstanciada de fijación de sellos de clausura; por lo que en consecuencia es procedente el presente proceso respecto de esos actos administrativos. . . . . . . . . . . . . . . . . . . . .</w:t>
      </w:r>
      <w:r w:rsidR="00031C0C">
        <w:rPr>
          <w:rFonts w:ascii="Calibri" w:hAnsi="Calibri"/>
          <w:bCs/>
          <w:iCs/>
          <w:color w:val="7F7F7F" w:themeColor="text1" w:themeTint="80"/>
          <w:sz w:val="26"/>
          <w:szCs w:val="26"/>
        </w:rPr>
        <w:t xml:space="preserve">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20ABC">
        <w:rPr>
          <w:rFonts w:ascii="Calibri" w:hAnsi="Calibri" w:cs="Arial"/>
          <w:color w:val="7F7F7F" w:themeColor="text1" w:themeTint="80"/>
          <w:sz w:val="26"/>
          <w:szCs w:val="26"/>
        </w:rPr>
        <w:t>.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CC7A98">
        <w:rPr>
          <w:rFonts w:ascii="Calibri" w:hAnsi="Calibri"/>
          <w:color w:val="7F7F7F" w:themeColor="text1" w:themeTint="80"/>
          <w:sz w:val="26"/>
          <w:szCs w:val="26"/>
        </w:rPr>
        <w:t>18 dieciocho</w:t>
      </w:r>
      <w:r w:rsidR="00672F84">
        <w:rPr>
          <w:rFonts w:ascii="Calibri" w:hAnsi="Calibri"/>
          <w:color w:val="7F7F7F" w:themeColor="text1" w:themeTint="80"/>
          <w:sz w:val="26"/>
          <w:szCs w:val="26"/>
        </w:rPr>
        <w:t xml:space="preserve"> de septiembre</w:t>
      </w:r>
      <w:r w:rsidRPr="00BF5CA7">
        <w:rPr>
          <w:rFonts w:ascii="Calibri" w:hAnsi="Calibri"/>
          <w:color w:val="7F7F7F" w:themeColor="text1" w:themeTint="80"/>
          <w:sz w:val="26"/>
          <w:szCs w:val="26"/>
        </w:rPr>
        <w:t xml:space="preserve"> del año 2015 dos mil quince, dentro del expediente número </w:t>
      </w:r>
      <w:r w:rsidR="002919BC">
        <w:rPr>
          <w:rFonts w:ascii="Calibri" w:hAnsi="Calibri"/>
          <w:color w:val="7F7F7F" w:themeColor="text1" w:themeTint="80"/>
          <w:sz w:val="26"/>
          <w:szCs w:val="26"/>
        </w:rPr>
        <w:t>DGFC/DT/</w:t>
      </w:r>
      <w:r w:rsidR="00672F84">
        <w:rPr>
          <w:rFonts w:ascii="Calibri" w:hAnsi="Calibri"/>
          <w:color w:val="7F7F7F" w:themeColor="text1" w:themeTint="80"/>
          <w:sz w:val="26"/>
          <w:szCs w:val="26"/>
        </w:rPr>
        <w:t>0633</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w:t>
      </w:r>
      <w:r w:rsidR="00CC7A98">
        <w:rPr>
          <w:rFonts w:ascii="Calibri" w:hAnsi="Calibri"/>
          <w:color w:val="7F7F7F" w:themeColor="text1" w:themeTint="80"/>
          <w:sz w:val="26"/>
          <w:szCs w:val="26"/>
        </w:rPr>
        <w:t xml:space="preserve">el </w:t>
      </w:r>
      <w:r w:rsidRPr="00BF5CA7">
        <w:rPr>
          <w:rFonts w:ascii="Calibri" w:hAnsi="Calibri"/>
          <w:color w:val="7F7F7F" w:themeColor="text1" w:themeTint="80"/>
          <w:sz w:val="26"/>
          <w:szCs w:val="26"/>
        </w:rPr>
        <w:t>día</w:t>
      </w:r>
      <w:r w:rsidR="00CC7A98">
        <w:rPr>
          <w:rFonts w:ascii="Calibri" w:hAnsi="Calibri"/>
          <w:color w:val="7F7F7F" w:themeColor="text1" w:themeTint="80"/>
          <w:sz w:val="26"/>
          <w:szCs w:val="26"/>
        </w:rPr>
        <w:t xml:space="preserve"> 22 veintidós del mismo mes y año</w:t>
      </w:r>
      <w:r w:rsidRPr="00BF5CA7">
        <w:rPr>
          <w:rFonts w:ascii="Calibri" w:hAnsi="Calibri"/>
          <w:color w:val="7F7F7F" w:themeColor="text1" w:themeTint="80"/>
          <w:sz w:val="26"/>
          <w:szCs w:val="26"/>
        </w:rPr>
        <w:t xml:space="preserve">,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672F84">
        <w:rPr>
          <w:rFonts w:ascii="Calibri" w:hAnsi="Calibri"/>
          <w:color w:val="7F7F7F" w:themeColor="text1" w:themeTint="80"/>
          <w:sz w:val="26"/>
          <w:szCs w:val="26"/>
        </w:rPr>
        <w:t>Marco Antonio Domínguez Torres</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w:t>
      </w:r>
      <w:r w:rsidR="00BE247E">
        <w:rPr>
          <w:rFonts w:ascii="Calibri" w:hAnsi="Calibri"/>
          <w:color w:val="7F7F7F" w:themeColor="text1" w:themeTint="80"/>
          <w:sz w:val="26"/>
          <w:szCs w:val="26"/>
        </w:rPr>
        <w:t xml:space="preserve">número </w:t>
      </w:r>
      <w:r w:rsidR="00F62BC1">
        <w:rPr>
          <w:rFonts w:ascii="Calibri" w:hAnsi="Calibri"/>
          <w:color w:val="7F7F7F" w:themeColor="text1" w:themeTint="80"/>
          <w:sz w:val="26"/>
          <w:szCs w:val="26"/>
        </w:rPr>
        <w:t>406 A cuatrocientos seis letra A</w:t>
      </w:r>
      <w:r w:rsidRPr="00BF5CA7">
        <w:rPr>
          <w:rFonts w:ascii="Calibri" w:hAnsi="Calibri"/>
          <w:color w:val="7F7F7F" w:themeColor="text1" w:themeTint="80"/>
          <w:sz w:val="26"/>
          <w:szCs w:val="26"/>
        </w:rPr>
        <w:t xml:space="preserve">, de la calle </w:t>
      </w:r>
      <w:r w:rsidR="00BE247E">
        <w:rPr>
          <w:rFonts w:ascii="Calibri" w:hAnsi="Calibri"/>
          <w:color w:val="7F7F7F" w:themeColor="text1" w:themeTint="80"/>
          <w:sz w:val="26"/>
          <w:szCs w:val="26"/>
        </w:rPr>
        <w:t>Principal</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AE1A6F">
        <w:rPr>
          <w:rFonts w:ascii="Calibri" w:hAnsi="Calibri"/>
          <w:color w:val="7F7F7F" w:themeColor="text1" w:themeTint="80"/>
          <w:sz w:val="26"/>
          <w:szCs w:val="26"/>
        </w:rPr>
        <w:t xml:space="preserve">o comunidad </w:t>
      </w:r>
      <w:r w:rsidR="00F62BC1">
        <w:rPr>
          <w:rFonts w:ascii="Calibri" w:hAnsi="Calibri"/>
          <w:color w:val="7F7F7F" w:themeColor="text1" w:themeTint="80"/>
          <w:sz w:val="26"/>
          <w:szCs w:val="26"/>
        </w:rPr>
        <w:t>La Laborcita</w:t>
      </w:r>
      <w:r w:rsidRPr="00BF5CA7">
        <w:rPr>
          <w:rFonts w:ascii="Calibri" w:hAnsi="Calibri"/>
          <w:color w:val="7F7F7F" w:themeColor="text1" w:themeTint="80"/>
          <w:sz w:val="26"/>
          <w:szCs w:val="26"/>
        </w:rPr>
        <w:t xml:space="preserve"> de </w:t>
      </w:r>
      <w:r w:rsidR="00AE1A6F">
        <w:rPr>
          <w:rFonts w:ascii="Calibri" w:hAnsi="Calibri"/>
          <w:color w:val="7F7F7F" w:themeColor="text1" w:themeTint="80"/>
          <w:sz w:val="26"/>
          <w:szCs w:val="26"/>
        </w:rPr>
        <w:t>este municipio</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8E1C98">
        <w:rPr>
          <w:rFonts w:ascii="Calibri" w:hAnsi="Calibri"/>
          <w:color w:val="7F7F7F" w:themeColor="text1" w:themeTint="80"/>
          <w:sz w:val="26"/>
          <w:szCs w:val="26"/>
        </w:rPr>
        <w:t xml:space="preserve"> . . . . . . . . . . . . . .</w:t>
      </w:r>
    </w:p>
    <w:p w:rsidR="008E1C98" w:rsidRDefault="008E1C98" w:rsidP="008E1C9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944/2015-JN</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w:t>
      </w:r>
      <w:r w:rsidR="008E1C98">
        <w:rPr>
          <w:rFonts w:ascii="Calibri" w:hAnsi="Calibri"/>
          <w:color w:val="7F7F7F" w:themeColor="text1" w:themeTint="80"/>
          <w:sz w:val="26"/>
          <w:szCs w:val="26"/>
        </w:rPr>
        <w:t xml:space="preserve">señaló </w:t>
      </w:r>
      <w:r w:rsidRPr="00BF5CA7">
        <w:rPr>
          <w:rFonts w:ascii="Calibri" w:hAnsi="Calibri"/>
          <w:color w:val="7F7F7F" w:themeColor="text1" w:themeTint="80"/>
          <w:sz w:val="26"/>
          <w:szCs w:val="26"/>
        </w:rPr>
        <w:t xml:space="preserve">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8E1C98">
        <w:rPr>
          <w:rFonts w:ascii="Calibri" w:hAnsi="Calibri"/>
          <w:color w:val="7F7F7F" w:themeColor="text1" w:themeTint="80"/>
          <w:sz w:val="26"/>
          <w:szCs w:val="26"/>
        </w:rPr>
        <w:t xml:space="preserve">. . .  . . . . . . . . . . . . . . . . . . . . . . . .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8E1C98" w:rsidRPr="00BF5CA7" w:rsidRDefault="008E1C98" w:rsidP="004B3DFC">
      <w:pPr>
        <w:pStyle w:val="Textoindependiente"/>
        <w:tabs>
          <w:tab w:val="left" w:pos="3594"/>
        </w:tabs>
        <w:rPr>
          <w:rFonts w:ascii="Calibri" w:hAnsi="Calibri" w:cs="Calibri"/>
          <w:iCs/>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E8150C">
        <w:rPr>
          <w:rFonts w:ascii="Calibri" w:hAnsi="Calibri"/>
          <w:color w:val="7F7F7F" w:themeColor="text1" w:themeTint="80"/>
          <w:sz w:val="26"/>
          <w:szCs w:val="26"/>
        </w:rPr>
        <w:t>18 dieciocho</w:t>
      </w:r>
      <w:r w:rsidR="00672F84">
        <w:rPr>
          <w:rFonts w:ascii="Calibri" w:hAnsi="Calibri"/>
          <w:color w:val="7F7F7F" w:themeColor="text1" w:themeTint="80"/>
          <w:sz w:val="26"/>
          <w:szCs w:val="26"/>
        </w:rPr>
        <w:t xml:space="preserve"> de septiembre</w:t>
      </w:r>
      <w:r w:rsidRPr="00BF5CA7">
        <w:rPr>
          <w:rFonts w:ascii="Calibri" w:hAnsi="Calibri"/>
          <w:color w:val="7F7F7F" w:themeColor="text1" w:themeTint="80"/>
          <w:sz w:val="26"/>
          <w:szCs w:val="26"/>
        </w:rPr>
        <w:t xml:space="preserve"> del año 2015 dos mil quince, emitida dentro del expediente con número </w:t>
      </w:r>
      <w:r w:rsidR="002919BC">
        <w:rPr>
          <w:rFonts w:ascii="Calibri" w:hAnsi="Calibri"/>
          <w:color w:val="7F7F7F" w:themeColor="text1" w:themeTint="80"/>
          <w:sz w:val="26"/>
          <w:szCs w:val="26"/>
        </w:rPr>
        <w:t>DGFC/DT/</w:t>
      </w:r>
      <w:r w:rsidR="00672F84">
        <w:rPr>
          <w:rFonts w:ascii="Calibri" w:hAnsi="Calibri"/>
          <w:color w:val="7F7F7F" w:themeColor="text1" w:themeTint="80"/>
          <w:sz w:val="26"/>
          <w:szCs w:val="26"/>
        </w:rPr>
        <w:t>0633</w:t>
      </w:r>
      <w:r w:rsidR="002919BC">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w:t>
      </w:r>
      <w:r w:rsidR="00E8150C">
        <w:rPr>
          <w:rFonts w:ascii="Calibri" w:hAnsi="Calibri"/>
          <w:color w:val="7F7F7F" w:themeColor="text1" w:themeTint="80"/>
          <w:sz w:val="26"/>
          <w:szCs w:val="26"/>
        </w:rPr>
        <w:t>el 22 veintidós de septiembre del 2015 dos mil quince</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 xml:space="preserve">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r w:rsidR="008E1C98">
        <w:rPr>
          <w:rFonts w:ascii="Calibri" w:hAnsi="Calibri" w:cs="Calibri"/>
          <w:iCs/>
          <w:color w:val="7F7F7F" w:themeColor="text1" w:themeTint="80"/>
          <w:sz w:val="26"/>
          <w:szCs w:val="26"/>
        </w:rPr>
        <w:t>. . . . . . . . . . . . . . . . . . . . . . . . . . . . . . . .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9652AE">
        <w:rPr>
          <w:rFonts w:ascii="Calibri" w:hAnsi="Calibri" w:cs="Arial"/>
          <w:color w:val="7F7F7F" w:themeColor="text1" w:themeTint="80"/>
          <w:sz w:val="26"/>
          <w:szCs w:val="26"/>
        </w:rPr>
        <w:t xml:space="preserve">.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r w:rsidR="008765FE">
        <w:rPr>
          <w:rFonts w:ascii="Calibri" w:hAnsi="Calibri"/>
          <w:color w:val="7F7F7F" w:themeColor="text1" w:themeTint="80"/>
          <w:sz w:val="26"/>
          <w:szCs w:val="26"/>
        </w:rPr>
        <w:t>.</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8765FE">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expresaron </w:t>
      </w:r>
      <w:r w:rsidR="00CF7B38" w:rsidRPr="006071F6">
        <w:rPr>
          <w:rFonts w:ascii="Calibri" w:hAnsi="Calibri"/>
          <w:iCs/>
          <w:color w:val="7F7F7F" w:themeColor="text1" w:themeTint="80"/>
          <w:sz w:val="26"/>
          <w:szCs w:val="26"/>
        </w:rPr>
        <w:t xml:space="preserve">que sí es competente la dependencia 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p>
    <w:p w:rsidR="00E959B2" w:rsidRDefault="00E959B2" w:rsidP="00E959B2">
      <w:pPr>
        <w:pStyle w:val="Sangra3detindependiente"/>
        <w:ind w:left="0"/>
        <w:jc w:val="both"/>
        <w:rPr>
          <w:rFonts w:ascii="Calibri" w:hAnsi="Calibri"/>
          <w:color w:val="7F7F7F" w:themeColor="text1" w:themeTint="80"/>
          <w:sz w:val="26"/>
          <w:szCs w:val="26"/>
          <w:lang w:val="es-MX"/>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w:t>
      </w:r>
      <w:r w:rsidR="00E959B2">
        <w:rPr>
          <w:rFonts w:ascii="Calibri" w:hAnsi="Calibri" w:cs="Calibri"/>
          <w:bCs/>
          <w:iCs/>
          <w:color w:val="7F7F7F" w:themeColor="text1" w:themeTint="80"/>
          <w:sz w:val="26"/>
          <w:szCs w:val="26"/>
        </w:rPr>
        <w:lastRenderedPageBreak/>
        <w:t xml:space="preserve">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C72228">
        <w:rPr>
          <w:rFonts w:asciiTheme="minorHAnsi" w:hAnsiTheme="minorHAnsi"/>
          <w:color w:val="7F7F7F" w:themeColor="text1" w:themeTint="80"/>
          <w:sz w:val="26"/>
          <w:szCs w:val="26"/>
        </w:rPr>
        <w:t>genérica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33066F" w:rsidRDefault="000954F8" w:rsidP="005820E3">
      <w:pPr>
        <w:pStyle w:val="Default"/>
        <w:ind w:firstLine="708"/>
        <w:jc w:val="both"/>
        <w:rPr>
          <w:rFonts w:asciiTheme="minorHAnsi" w:hAnsiTheme="minorHAnsi"/>
          <w:color w:val="767171" w:themeColor="background2" w:themeShade="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 xml:space="preserve">rno de la Secretaría en mención, es la responsable de la coordinación y colaboración con otras autoridades, como lo serían las autoridades administrativas municipales, en materia de juegos con apuestas y sorteos </w:t>
      </w:r>
    </w:p>
    <w:p w:rsidR="0033066F" w:rsidRDefault="0033066F" w:rsidP="0033066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944/2015-JN</w:t>
      </w:r>
    </w:p>
    <w:p w:rsidR="0033066F" w:rsidRDefault="0033066F" w:rsidP="005820E3">
      <w:pPr>
        <w:pStyle w:val="Default"/>
        <w:ind w:firstLine="708"/>
        <w:jc w:val="both"/>
        <w:rPr>
          <w:rFonts w:asciiTheme="minorHAnsi" w:hAnsiTheme="minorHAnsi"/>
          <w:color w:val="767171" w:themeColor="background2" w:themeShade="80"/>
          <w:sz w:val="26"/>
          <w:szCs w:val="26"/>
        </w:rPr>
      </w:pPr>
    </w:p>
    <w:p w:rsidR="008C61C6" w:rsidRPr="00992C9C" w:rsidRDefault="00A8545F" w:rsidP="0033066F">
      <w:pPr>
        <w:pStyle w:val="Default"/>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33066F">
        <w:rPr>
          <w:rFonts w:asciiTheme="minorHAnsi" w:hAnsiTheme="minorHAnsi"/>
          <w:color w:val="767171" w:themeColor="background2" w:themeShade="80"/>
          <w:sz w:val="26"/>
          <w:szCs w:val="26"/>
        </w:rPr>
        <w:t xml:space="preserve">.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 xml:space="preserve">con cruce de apuestas en cualquiera de sus </w:t>
      </w:r>
      <w:r w:rsidR="00DB641E" w:rsidRPr="00DB641E">
        <w:rPr>
          <w:rFonts w:asciiTheme="minorHAnsi" w:hAnsiTheme="minorHAnsi"/>
          <w:color w:val="7F7F7F" w:themeColor="text1" w:themeTint="80"/>
          <w:sz w:val="26"/>
          <w:szCs w:val="26"/>
        </w:rPr>
        <w:lastRenderedPageBreak/>
        <w:t>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33066F">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E210CC">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4332CA">
        <w:rPr>
          <w:rFonts w:ascii="Calibri" w:hAnsi="Calibri" w:cs="Calibri"/>
          <w:b w:val="0"/>
          <w:bCs w:val="0"/>
          <w:iCs/>
          <w:color w:val="7F7F7F" w:themeColor="text1" w:themeTint="80"/>
          <w:sz w:val="26"/>
          <w:szCs w:val="26"/>
          <w:lang w:val="es-MX"/>
        </w:rPr>
        <w:t>; debe decirse que lo dispues</w:t>
      </w:r>
      <w:r w:rsidR="005D15CD" w:rsidRPr="00562A66">
        <w:rPr>
          <w:rFonts w:ascii="Calibri" w:hAnsi="Calibri" w:cs="Calibri"/>
          <w:b w:val="0"/>
          <w:bCs w:val="0"/>
          <w:iCs/>
          <w:color w:val="7F7F7F" w:themeColor="text1" w:themeTint="80"/>
          <w:sz w:val="26"/>
          <w:szCs w:val="26"/>
          <w:lang w:val="es-MX"/>
        </w:rPr>
        <w:t>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4332CA">
        <w:rPr>
          <w:rFonts w:ascii="Calibri" w:hAnsi="Calibri" w:cs="Calibri"/>
          <w:b w:val="0"/>
          <w:bCs w:val="0"/>
          <w:iCs/>
          <w:color w:val="7F7F7F" w:themeColor="text1" w:themeTint="80"/>
          <w:sz w:val="26"/>
          <w:szCs w:val="26"/>
          <w:lang w:val="es-MX"/>
        </w:rPr>
        <w:t>,</w:t>
      </w:r>
      <w:r w:rsidR="00562A66" w:rsidRPr="00562A66">
        <w:rPr>
          <w:rFonts w:ascii="Calibri" w:hAnsi="Calibri" w:cs="Calibri"/>
          <w:b w:val="0"/>
          <w:bCs w:val="0"/>
          <w:iCs/>
          <w:color w:val="7F7F7F" w:themeColor="text1" w:themeTint="80"/>
          <w:sz w:val="26"/>
          <w:szCs w:val="26"/>
          <w:lang w:val="es-MX"/>
        </w:rPr>
        <w:t xml:space="preserve"> no resulta aplicable al caso concreto, puest</w:t>
      </w:r>
      <w:r w:rsidR="00562A66">
        <w:rPr>
          <w:rFonts w:ascii="Calibri" w:hAnsi="Calibri" w:cs="Calibri"/>
          <w:b w:val="0"/>
          <w:bCs w:val="0"/>
          <w:iCs/>
          <w:color w:val="7F7F7F" w:themeColor="text1" w:themeTint="80"/>
          <w:sz w:val="26"/>
          <w:szCs w:val="26"/>
          <w:lang w:val="es-MX"/>
        </w:rPr>
        <w:t>o que los mismos se refieren a los establecimientos comerciales y de servicios c</w:t>
      </w:r>
      <w:r w:rsidR="004332CA">
        <w:rPr>
          <w:rFonts w:ascii="Calibri" w:hAnsi="Calibri" w:cs="Calibri"/>
          <w:b w:val="0"/>
          <w:bCs w:val="0"/>
          <w:iCs/>
          <w:color w:val="7F7F7F" w:themeColor="text1" w:themeTint="80"/>
          <w:sz w:val="26"/>
          <w:szCs w:val="26"/>
          <w:lang w:val="es-MX"/>
        </w:rPr>
        <w:t>on venta de bebidas alcohólicas;</w:t>
      </w:r>
      <w:r w:rsidR="00562A66">
        <w:rPr>
          <w:rFonts w:ascii="Calibri" w:hAnsi="Calibri" w:cs="Calibri"/>
          <w:b w:val="0"/>
          <w:bCs w:val="0"/>
          <w:iCs/>
          <w:color w:val="7F7F7F" w:themeColor="text1" w:themeTint="80"/>
          <w:sz w:val="26"/>
          <w:szCs w:val="26"/>
          <w:lang w:val="es-MX"/>
        </w:rPr>
        <w:t xml:space="preserve"> esto es, a los contenidos en el Título Segundo del Reglamento citado; siendo evidente que no se trata del supuesto que se ventila en el presente asunto, que se refiere a una tienda de abarrotes en la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w:t>
      </w:r>
      <w:r w:rsidR="007C1BD6">
        <w:rPr>
          <w:rFonts w:ascii="Calibri" w:hAnsi="Calibri" w:cs="Calibri"/>
          <w:b w:val="0"/>
          <w:bCs w:val="0"/>
          <w:iCs/>
          <w:color w:val="7F7F7F" w:themeColor="text1" w:themeTint="80"/>
          <w:sz w:val="26"/>
          <w:szCs w:val="26"/>
          <w:lang w:val="es-MX"/>
        </w:rPr>
        <w:t xml:space="preserve">edas.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w:t>
      </w:r>
      <w:r w:rsidRPr="00CA1D42">
        <w:rPr>
          <w:rFonts w:asciiTheme="minorHAnsi" w:hAnsiTheme="minorHAnsi" w:cs="Arial"/>
          <w:color w:val="767171" w:themeColor="background2" w:themeShade="80"/>
          <w:sz w:val="26"/>
          <w:szCs w:val="26"/>
          <w:lang w:val="es-MX" w:eastAsia="en-US"/>
        </w:rPr>
        <w:t>la Dirección General</w:t>
      </w:r>
      <w:r w:rsidRPr="00AC308A">
        <w:rPr>
          <w:rFonts w:asciiTheme="minorHAnsi" w:hAnsiTheme="minorHAnsi" w:cs="Arial"/>
          <w:color w:val="767171" w:themeColor="background2" w:themeShade="80"/>
          <w:sz w:val="26"/>
          <w:szCs w:val="26"/>
          <w:lang w:val="es-MX" w:eastAsia="en-US"/>
        </w:rPr>
        <w:t xml:space="preserve"> de </w:t>
      </w:r>
      <w:r w:rsidRPr="00AC308A">
        <w:rPr>
          <w:rFonts w:asciiTheme="minorHAnsi" w:hAnsiTheme="minorHAnsi" w:cs="Arial"/>
          <w:color w:val="767171" w:themeColor="background2" w:themeShade="80"/>
          <w:sz w:val="26"/>
          <w:szCs w:val="26"/>
          <w:lang w:val="es-MX" w:eastAsia="en-US"/>
        </w:rPr>
        <w:lastRenderedPageBreak/>
        <w:t xml:space="preserve">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w:t>
      </w:r>
      <w:r w:rsidR="00CA1D42">
        <w:rPr>
          <w:rFonts w:asciiTheme="minorHAnsi" w:hAnsiTheme="minorHAnsi" w:cs="Arial"/>
          <w:b w:val="0"/>
          <w:color w:val="767171" w:themeColor="background2" w:themeShade="80"/>
          <w:sz w:val="26"/>
          <w:szCs w:val="26"/>
          <w:lang w:val="es-MX"/>
        </w:rPr>
        <w:t>nfonolas</w:t>
      </w:r>
      <w:proofErr w:type="spellEnd"/>
      <w:r w:rsidR="00CA1D42">
        <w:rPr>
          <w:rFonts w:asciiTheme="minorHAnsi" w:hAnsiTheme="minorHAnsi" w:cs="Arial"/>
          <w:b w:val="0"/>
          <w:color w:val="767171" w:themeColor="background2" w:themeShade="80"/>
          <w:sz w:val="26"/>
          <w:szCs w:val="26"/>
          <w:lang w:val="es-MX"/>
        </w:rPr>
        <w:t>.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BF71C9" w:rsidRDefault="00343E70" w:rsidP="00BF71C9">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decretar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CA67F9">
        <w:rPr>
          <w:rFonts w:ascii="Calibri" w:hAnsi="Calibri"/>
          <w:b/>
          <w:color w:val="7F7F7F" w:themeColor="text1" w:themeTint="80"/>
          <w:sz w:val="26"/>
          <w:szCs w:val="26"/>
        </w:rPr>
        <w:t xml:space="preserve">18 </w:t>
      </w:r>
      <w:r w:rsidR="00CA67F9">
        <w:rPr>
          <w:rFonts w:ascii="Calibri" w:hAnsi="Calibri"/>
          <w:color w:val="7F7F7F" w:themeColor="text1" w:themeTint="80"/>
          <w:sz w:val="26"/>
          <w:szCs w:val="26"/>
        </w:rPr>
        <w:t>dieciocho de</w:t>
      </w:r>
      <w:r w:rsidR="00672F84">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672F84">
        <w:rPr>
          <w:rFonts w:ascii="Calibri" w:hAnsi="Calibri"/>
          <w:b/>
          <w:color w:val="7F7F7F" w:themeColor="text1" w:themeTint="80"/>
          <w:sz w:val="26"/>
          <w:szCs w:val="26"/>
        </w:rPr>
        <w:t>0633</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fecha </w:t>
      </w:r>
      <w:r w:rsidR="00CA67F9" w:rsidRPr="00CA67F9">
        <w:rPr>
          <w:rFonts w:ascii="Calibri" w:hAnsi="Calibri"/>
          <w:b/>
          <w:bCs/>
          <w:color w:val="7F7F7F" w:themeColor="text1" w:themeTint="80"/>
          <w:sz w:val="26"/>
          <w:szCs w:val="26"/>
        </w:rPr>
        <w:t>22</w:t>
      </w:r>
      <w:r w:rsidR="00CA67F9">
        <w:rPr>
          <w:rFonts w:ascii="Calibri" w:hAnsi="Calibri"/>
          <w:bCs/>
          <w:color w:val="7F7F7F" w:themeColor="text1" w:themeTint="80"/>
          <w:sz w:val="26"/>
          <w:szCs w:val="26"/>
        </w:rPr>
        <w:t xml:space="preserve"> veintidós de </w:t>
      </w:r>
      <w:r w:rsidR="00CA67F9" w:rsidRPr="00CA67F9">
        <w:rPr>
          <w:rFonts w:ascii="Calibri" w:hAnsi="Calibri"/>
          <w:b/>
          <w:bCs/>
          <w:color w:val="7F7F7F" w:themeColor="text1" w:themeTint="80"/>
          <w:sz w:val="26"/>
          <w:szCs w:val="26"/>
        </w:rPr>
        <w:t>septiembre</w:t>
      </w:r>
      <w:r w:rsidR="00CA67F9">
        <w:rPr>
          <w:rFonts w:ascii="Calibri" w:hAnsi="Calibri"/>
          <w:bCs/>
          <w:color w:val="7F7F7F" w:themeColor="text1" w:themeTint="80"/>
          <w:sz w:val="26"/>
          <w:szCs w:val="26"/>
        </w:rPr>
        <w:t xml:space="preserve"> del </w:t>
      </w:r>
      <w:r w:rsidR="00CA67F9" w:rsidRPr="00CA67F9">
        <w:rPr>
          <w:rFonts w:ascii="Calibri" w:hAnsi="Calibri"/>
          <w:b/>
          <w:bCs/>
          <w:color w:val="7F7F7F" w:themeColor="text1" w:themeTint="80"/>
          <w:sz w:val="26"/>
          <w:szCs w:val="26"/>
        </w:rPr>
        <w:t>2015</w:t>
      </w:r>
      <w:r w:rsidR="00CA67F9">
        <w:rPr>
          <w:rFonts w:ascii="Calibri" w:hAnsi="Calibri"/>
          <w:bCs/>
          <w:color w:val="7F7F7F" w:themeColor="text1" w:themeTint="80"/>
          <w:sz w:val="26"/>
          <w:szCs w:val="26"/>
        </w:rPr>
        <w:t xml:space="preserve"> dos mil quince </w:t>
      </w:r>
      <w:r w:rsidR="00F54858">
        <w:rPr>
          <w:rFonts w:ascii="Calibri" w:hAnsi="Calibri"/>
          <w:bCs/>
          <w:color w:val="7F7F7F" w:themeColor="text1" w:themeTint="80"/>
          <w:sz w:val="26"/>
          <w:szCs w:val="26"/>
        </w:rPr>
        <w:t>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CA67F9">
        <w:rPr>
          <w:rFonts w:ascii="Calibri" w:hAnsi="Calibri"/>
          <w:bCs/>
          <w:color w:val="7F7F7F" w:themeColor="text1" w:themeTint="80"/>
          <w:sz w:val="26"/>
          <w:szCs w:val="26"/>
        </w:rPr>
        <w:t>a</w:t>
      </w:r>
      <w:r w:rsidR="00BF71C9" w:rsidRPr="00E41CB1">
        <w:rPr>
          <w:rFonts w:ascii="Calibri" w:hAnsi="Calibri"/>
          <w:bCs/>
          <w:color w:val="7F7F7F" w:themeColor="text1" w:themeTint="80"/>
          <w:sz w:val="26"/>
          <w:szCs w:val="26"/>
        </w:rPr>
        <w:t xml:space="preserve">l tener, como ya se dijo, su sustento y ser consecuencia de una orden de visita emitida de manera </w:t>
      </w:r>
      <w:r w:rsidR="00BF71C9">
        <w:rPr>
          <w:rFonts w:ascii="Calibri" w:hAnsi="Calibri"/>
          <w:color w:val="7F7F7F" w:themeColor="text1" w:themeTint="80"/>
          <w:sz w:val="26"/>
          <w:szCs w:val="27"/>
        </w:rPr>
        <w:t>ilega</w:t>
      </w:r>
      <w:r w:rsidR="00BF71C9" w:rsidRPr="00F9490B">
        <w:rPr>
          <w:rFonts w:ascii="Calibri" w:hAnsi="Calibri"/>
          <w:color w:val="7F7F7F" w:themeColor="text1" w:themeTint="80"/>
          <w:sz w:val="26"/>
          <w:szCs w:val="27"/>
        </w:rPr>
        <w:t>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965ED2">
        <w:rPr>
          <w:rFonts w:ascii="Calibri" w:hAnsi="Calibri"/>
          <w:color w:val="7F7F7F" w:themeColor="text1" w:themeTint="80"/>
          <w:sz w:val="26"/>
          <w:szCs w:val="27"/>
        </w:rPr>
        <w:t>.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965ED2">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965ED2">
        <w:rPr>
          <w:rFonts w:ascii="Calibri" w:hAnsi="Calibri"/>
          <w:color w:val="7F7F7F" w:themeColor="text1" w:themeTint="80"/>
          <w:sz w:val="26"/>
          <w:szCs w:val="26"/>
          <w:lang w:eastAsia="es-MX"/>
        </w:rPr>
        <w:t xml:space="preserve">. .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965ED2" w:rsidRDefault="00965ED2" w:rsidP="00965ED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944/2015-JN</w:t>
      </w:r>
    </w:p>
    <w:p w:rsidR="00965ED2" w:rsidRDefault="00965ED2" w:rsidP="00965ED2">
      <w:pPr>
        <w:autoSpaceDE w:val="0"/>
        <w:autoSpaceDN w:val="0"/>
        <w:adjustRightInd w:val="0"/>
        <w:jc w:val="both"/>
        <w:rPr>
          <w:rFonts w:ascii="Calibri" w:hAnsi="Calibri"/>
          <w:b/>
          <w:i/>
          <w:iCs/>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w:t>
      </w:r>
      <w:r w:rsidRPr="00BF5CA7">
        <w:rPr>
          <w:rFonts w:ascii="Calibri" w:hAnsi="Calibri"/>
          <w:i/>
          <w:iCs/>
          <w:color w:val="7F7F7F" w:themeColor="text1" w:themeTint="80"/>
          <w:sz w:val="26"/>
          <w:szCs w:val="26"/>
          <w:lang w:val="es-MX" w:eastAsia="es-MX"/>
        </w:rPr>
        <w:lastRenderedPageBreak/>
        <w:t xml:space="preserve">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965ED2">
        <w:rPr>
          <w:rFonts w:ascii="Calibri" w:hAnsi="Calibri"/>
          <w:color w:val="7F7F7F" w:themeColor="text1" w:themeTint="80"/>
          <w:sz w:val="22"/>
          <w:szCs w:val="26"/>
          <w:lang w:val="es-MX" w:eastAsia="es-MX"/>
        </w:rPr>
        <w:t>.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Pr="00A32EE2" w:rsidRDefault="00F54858" w:rsidP="00965ED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y la tienda de abarrotes</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9919D3" w:rsidRPr="00BF5CA7" w:rsidRDefault="009919D3"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 xml:space="preserve">Segundo Tribunal Colegiado Del Quinto Circuito. No. Registro: 223,103. Jurisprudencia. Materia(s): Común. Octava Época. Instancia: Tribunales Colegiados de Circuito. Fuente: </w:t>
      </w:r>
      <w:r w:rsidRPr="00BF5CA7">
        <w:rPr>
          <w:rFonts w:ascii="Calibri" w:hAnsi="Calibri"/>
          <w:color w:val="7F7F7F" w:themeColor="text1" w:themeTint="80"/>
          <w:sz w:val="22"/>
          <w:szCs w:val="22"/>
        </w:rPr>
        <w:lastRenderedPageBreak/>
        <w:t>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72F84">
        <w:rPr>
          <w:rFonts w:ascii="Calibri" w:hAnsi="Calibri"/>
          <w:color w:val="7F7F7F" w:themeColor="text1" w:themeTint="80"/>
          <w:sz w:val="26"/>
          <w:szCs w:val="26"/>
        </w:rPr>
        <w:t>22 veintidós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9919D3">
        <w:rPr>
          <w:rFonts w:ascii="Calibri" w:hAnsi="Calibri"/>
          <w:color w:val="7F7F7F" w:themeColor="text1" w:themeTint="80"/>
          <w:sz w:val="26"/>
          <w:szCs w:val="26"/>
        </w:rPr>
        <w:t>.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BF71C9">
        <w:rPr>
          <w:rFonts w:ascii="Calibri" w:hAnsi="Calibri"/>
          <w:color w:val="7F7F7F" w:themeColor="text1" w:themeTint="80"/>
          <w:sz w:val="26"/>
          <w:szCs w:val="26"/>
        </w:rPr>
        <w:t>qu</w:t>
      </w:r>
      <w:r w:rsidR="004A41DC" w:rsidRPr="00BF71C9">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9919D3">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CA67F9">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8B301B">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decreta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CA67F9">
        <w:rPr>
          <w:rFonts w:ascii="Calibri" w:hAnsi="Calibri"/>
          <w:b/>
          <w:color w:val="7F7F7F" w:themeColor="text1" w:themeTint="80"/>
          <w:sz w:val="26"/>
          <w:szCs w:val="26"/>
        </w:rPr>
        <w:t xml:space="preserve">18 </w:t>
      </w:r>
      <w:r w:rsidR="00CA67F9" w:rsidRPr="00CA67F9">
        <w:rPr>
          <w:rFonts w:ascii="Calibri" w:hAnsi="Calibri"/>
          <w:color w:val="7F7F7F" w:themeColor="text1" w:themeTint="80"/>
          <w:sz w:val="26"/>
          <w:szCs w:val="26"/>
        </w:rPr>
        <w:t xml:space="preserve">dieciocho </w:t>
      </w:r>
      <w:r w:rsidR="00672F84" w:rsidRPr="00CA67F9">
        <w:rPr>
          <w:rFonts w:ascii="Calibri" w:hAnsi="Calibri"/>
          <w:color w:val="7F7F7F" w:themeColor="text1" w:themeTint="80"/>
          <w:sz w:val="26"/>
          <w:szCs w:val="26"/>
        </w:rPr>
        <w:t>de</w:t>
      </w:r>
      <w:r w:rsidR="00672F84">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672F84">
        <w:rPr>
          <w:rFonts w:ascii="Calibri" w:hAnsi="Calibri"/>
          <w:b/>
          <w:color w:val="7F7F7F" w:themeColor="text1" w:themeTint="80"/>
          <w:sz w:val="26"/>
          <w:szCs w:val="26"/>
        </w:rPr>
        <w:t>0633</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Pr>
          <w:rFonts w:ascii="Calibri" w:hAnsi="Calibri"/>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todos de fecha </w:t>
      </w:r>
      <w:r w:rsidR="00CA67F9">
        <w:rPr>
          <w:rFonts w:ascii="Calibri" w:hAnsi="Calibri"/>
          <w:b/>
          <w:bCs/>
          <w:color w:val="7F7F7F" w:themeColor="text1" w:themeTint="80"/>
          <w:sz w:val="26"/>
          <w:szCs w:val="26"/>
        </w:rPr>
        <w:t xml:space="preserve">22 </w:t>
      </w:r>
      <w:r w:rsidR="00CA67F9">
        <w:rPr>
          <w:rFonts w:ascii="Calibri" w:hAnsi="Calibri"/>
          <w:bCs/>
          <w:color w:val="7F7F7F" w:themeColor="text1" w:themeTint="80"/>
          <w:sz w:val="26"/>
          <w:szCs w:val="26"/>
        </w:rPr>
        <w:t xml:space="preserve">veintidós de </w:t>
      </w:r>
      <w:r w:rsidR="00CA67F9" w:rsidRPr="00CA67F9">
        <w:rPr>
          <w:rFonts w:ascii="Calibri" w:hAnsi="Calibri"/>
          <w:b/>
          <w:bCs/>
          <w:color w:val="7F7F7F" w:themeColor="text1" w:themeTint="80"/>
          <w:sz w:val="26"/>
          <w:szCs w:val="26"/>
        </w:rPr>
        <w:t>septiembre</w:t>
      </w:r>
      <w:r w:rsidR="00CA67F9">
        <w:rPr>
          <w:rFonts w:ascii="Calibri" w:hAnsi="Calibri"/>
          <w:bCs/>
          <w:color w:val="7F7F7F" w:themeColor="text1" w:themeTint="80"/>
          <w:sz w:val="26"/>
          <w:szCs w:val="26"/>
        </w:rPr>
        <w:t xml:space="preserve"> del </w:t>
      </w:r>
      <w:r w:rsidR="00CA67F9" w:rsidRPr="00CA67F9">
        <w:rPr>
          <w:rFonts w:ascii="Calibri" w:hAnsi="Calibri"/>
          <w:b/>
          <w:bCs/>
          <w:color w:val="7F7F7F" w:themeColor="text1" w:themeTint="80"/>
          <w:sz w:val="26"/>
          <w:szCs w:val="26"/>
        </w:rPr>
        <w:t>2015</w:t>
      </w:r>
      <w:r w:rsidR="00CA67F9">
        <w:rPr>
          <w:rFonts w:ascii="Calibri" w:hAnsi="Calibri"/>
          <w:bCs/>
          <w:color w:val="7F7F7F" w:themeColor="text1" w:themeTint="80"/>
          <w:sz w:val="26"/>
          <w:szCs w:val="26"/>
        </w:rPr>
        <w:t xml:space="preserve"> dos mil quince</w:t>
      </w:r>
      <w:r w:rsidR="00656D08" w:rsidRPr="00656D08">
        <w:rPr>
          <w:rFonts w:ascii="Calibri" w:hAnsi="Calibri"/>
          <w:bCs/>
          <w:color w:val="7F7F7F" w:themeColor="text1" w:themeTint="80"/>
          <w:sz w:val="26"/>
          <w:szCs w:val="26"/>
        </w:rPr>
        <w:t xml:space="preserve"> y con el mismo número de expediente</w:t>
      </w:r>
      <w:r w:rsidR="00CA67F9">
        <w:rPr>
          <w:rFonts w:ascii="Calibri" w:hAnsi="Calibri"/>
          <w:bCs/>
          <w:color w:val="7F7F7F" w:themeColor="text1" w:themeTint="80"/>
          <w:sz w:val="26"/>
          <w:szCs w:val="26"/>
        </w:rPr>
        <w:t xml:space="preserve"> que el de la orden de visita de inspección;</w:t>
      </w:r>
      <w:r w:rsidR="00BF71C9" w:rsidRPr="00E41CB1">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levante la clausura</w:t>
      </w:r>
      <w:r w:rsidR="008E0AB6" w:rsidRPr="00BF5CA7">
        <w:rPr>
          <w:rFonts w:ascii="Calibri" w:hAnsi="Calibri"/>
          <w:color w:val="7F7F7F" w:themeColor="text1" w:themeTint="80"/>
          <w:sz w:val="26"/>
          <w:szCs w:val="26"/>
        </w:rPr>
        <w:t xml:space="preserve"> impuesta en fecha </w:t>
      </w:r>
      <w:r w:rsidR="00672F84">
        <w:rPr>
          <w:rFonts w:ascii="Calibri" w:hAnsi="Calibri"/>
          <w:color w:val="7F7F7F" w:themeColor="text1" w:themeTint="80"/>
          <w:sz w:val="26"/>
          <w:szCs w:val="26"/>
        </w:rPr>
        <w:t>22 veintidós de septiembre</w:t>
      </w:r>
      <w:r w:rsidR="008E0AB6" w:rsidRPr="00BF5CA7">
        <w:rPr>
          <w:rFonts w:ascii="Calibri" w:hAnsi="Calibri"/>
          <w:color w:val="7F7F7F" w:themeColor="text1" w:themeTint="80"/>
          <w:sz w:val="26"/>
          <w:szCs w:val="26"/>
        </w:rPr>
        <w:t xml:space="preserve"> del año 2015 dos mil quince, sobre </w:t>
      </w:r>
      <w:r w:rsidR="008E0AB6" w:rsidRPr="00BF71C9">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BF71C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bookmarkStart w:id="0" w:name="_GoBack"/>
      <w:r w:rsidR="008B301B">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9919D3">
        <w:rPr>
          <w:rFonts w:ascii="Calibri" w:hAnsi="Calibri" w:cs="Calibri"/>
          <w:color w:val="7F7F7F" w:themeColor="text1" w:themeTint="80"/>
          <w:sz w:val="26"/>
          <w:szCs w:val="26"/>
        </w:rPr>
        <w:t xml:space="preserve">.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9919D3" w:rsidRDefault="009919D3" w:rsidP="009919D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944/2015-JN</w:t>
      </w:r>
    </w:p>
    <w:p w:rsidR="009919D3" w:rsidRDefault="009919D3" w:rsidP="009919D3">
      <w:pPr>
        <w:jc w:val="both"/>
        <w:rPr>
          <w:rFonts w:ascii="Calibri" w:hAnsi="Calibri" w:cs="Calibri"/>
          <w:color w:val="7F7F7F" w:themeColor="text1" w:themeTint="80"/>
          <w:sz w:val="26"/>
          <w:szCs w:val="26"/>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informar a este Juzgado del cumplimiento dado al presente resolutivo, acompañando las constancias relativas que así lo acrediten. . . . . . . . . . . . . . . . . . . . . . . . . . . . . . . . . .</w:t>
      </w:r>
      <w:r w:rsidR="009919D3">
        <w:rPr>
          <w:rFonts w:ascii="Calibri" w:hAnsi="Calibri" w:cs="Calibri"/>
          <w:color w:val="7F7F7F" w:themeColor="text1" w:themeTint="80"/>
          <w:sz w:val="26"/>
          <w:szCs w:val="26"/>
        </w:rPr>
        <w:t xml:space="preserve"> . </w:t>
      </w:r>
    </w:p>
    <w:p w:rsidR="00345365" w:rsidRPr="009919D3"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r w:rsidR="009919D3">
        <w:rPr>
          <w:rFonts w:ascii="Calibri" w:hAnsi="Calibri" w:cs="Arial"/>
          <w:color w:val="7F7F7F" w:themeColor="text1" w:themeTint="80"/>
          <w:sz w:val="26"/>
          <w:szCs w:val="26"/>
        </w:rPr>
        <w:t xml:space="preserve">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Default="009919D3"/>
    <w:p w:rsidR="009919D3" w:rsidRPr="009919D3" w:rsidRDefault="009919D3" w:rsidP="009919D3">
      <w:pPr>
        <w:ind w:firstLine="708"/>
        <w:jc w:val="both"/>
        <w:rPr>
          <w:rFonts w:asciiTheme="minorHAnsi" w:hAnsiTheme="minorHAnsi"/>
          <w:b/>
        </w:rPr>
      </w:pPr>
      <w:r w:rsidRPr="009919D3">
        <w:rPr>
          <w:rFonts w:asciiTheme="minorHAnsi" w:hAnsiTheme="minorHAnsi"/>
          <w:b/>
          <w:color w:val="767171" w:themeColor="background2" w:themeShade="80"/>
        </w:rPr>
        <w:t>LA PRESENTE FOJA FORMA PARTE DE LA SENTENCIA DICTADA EL DÍA 21 VEINTIUNO DE MARZO DEL AÑO 2017 DOS MIL DIECISIETE, EN EL PROCESO ADMINISTRATIVO, CON NÚMERO 944/2015-JN.</w:t>
      </w:r>
      <w:r w:rsidRPr="009919D3">
        <w:rPr>
          <w:rFonts w:asciiTheme="minorHAnsi" w:hAnsiTheme="minorHAnsi"/>
          <w:b/>
        </w:rPr>
        <w:t xml:space="preserve"> </w:t>
      </w:r>
      <w:r>
        <w:rPr>
          <w:rFonts w:asciiTheme="minorHAnsi" w:hAnsiTheme="minorHAnsi"/>
          <w:b/>
        </w:rPr>
        <w:t xml:space="preserve">. . . . . . . . . . . . . . . . . . . . . . . . . . . . . . . . . </w:t>
      </w:r>
    </w:p>
    <w:sectPr w:rsidR="009919D3" w:rsidRPr="009919D3"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215" w:rsidRDefault="004E5215">
      <w:r>
        <w:separator/>
      </w:r>
    </w:p>
  </w:endnote>
  <w:endnote w:type="continuationSeparator" w:id="0">
    <w:p w:rsidR="004E5215" w:rsidRDefault="004E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215" w:rsidRDefault="004E5215">
      <w:r>
        <w:separator/>
      </w:r>
    </w:p>
  </w:footnote>
  <w:footnote w:type="continuationSeparator" w:id="0">
    <w:p w:rsidR="004E5215" w:rsidRDefault="004E5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4E52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7F54">
      <w:rPr>
        <w:rStyle w:val="Nmerodepgina"/>
        <w:noProof/>
      </w:rPr>
      <w:t>2</w:t>
    </w:r>
    <w:r>
      <w:rPr>
        <w:rStyle w:val="Nmerodepgina"/>
      </w:rPr>
      <w:fldChar w:fldCharType="end"/>
    </w:r>
  </w:p>
  <w:p w:rsidR="00A70119" w:rsidRDefault="004E52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31C0C"/>
    <w:rsid w:val="00074B0E"/>
    <w:rsid w:val="000909AE"/>
    <w:rsid w:val="000954F8"/>
    <w:rsid w:val="000C6B3D"/>
    <w:rsid w:val="000D6D33"/>
    <w:rsid w:val="000E019D"/>
    <w:rsid w:val="000E51D5"/>
    <w:rsid w:val="000F12ED"/>
    <w:rsid w:val="00114938"/>
    <w:rsid w:val="00134594"/>
    <w:rsid w:val="00140A1C"/>
    <w:rsid w:val="00181501"/>
    <w:rsid w:val="001915AF"/>
    <w:rsid w:val="00193C54"/>
    <w:rsid w:val="001C1EB4"/>
    <w:rsid w:val="001E492B"/>
    <w:rsid w:val="00202A4D"/>
    <w:rsid w:val="00210253"/>
    <w:rsid w:val="00230C3D"/>
    <w:rsid w:val="00231AD0"/>
    <w:rsid w:val="00245DB1"/>
    <w:rsid w:val="002723B0"/>
    <w:rsid w:val="002802A8"/>
    <w:rsid w:val="002919BC"/>
    <w:rsid w:val="00295DA4"/>
    <w:rsid w:val="00296ECD"/>
    <w:rsid w:val="002974BB"/>
    <w:rsid w:val="002A1F58"/>
    <w:rsid w:val="003013DF"/>
    <w:rsid w:val="0030185C"/>
    <w:rsid w:val="0033066F"/>
    <w:rsid w:val="00330A1A"/>
    <w:rsid w:val="00343E70"/>
    <w:rsid w:val="00345365"/>
    <w:rsid w:val="00347646"/>
    <w:rsid w:val="00363074"/>
    <w:rsid w:val="0038550B"/>
    <w:rsid w:val="003B50D2"/>
    <w:rsid w:val="003D0B6B"/>
    <w:rsid w:val="003E00BA"/>
    <w:rsid w:val="0041005A"/>
    <w:rsid w:val="00424C19"/>
    <w:rsid w:val="004328C1"/>
    <w:rsid w:val="004332CA"/>
    <w:rsid w:val="00436BB1"/>
    <w:rsid w:val="0047616C"/>
    <w:rsid w:val="0047708E"/>
    <w:rsid w:val="004805CA"/>
    <w:rsid w:val="004A41DC"/>
    <w:rsid w:val="004B3DFC"/>
    <w:rsid w:val="004E5215"/>
    <w:rsid w:val="0050762D"/>
    <w:rsid w:val="00516C82"/>
    <w:rsid w:val="005409A7"/>
    <w:rsid w:val="00562A66"/>
    <w:rsid w:val="00562F72"/>
    <w:rsid w:val="00577C15"/>
    <w:rsid w:val="005820E3"/>
    <w:rsid w:val="00587FCC"/>
    <w:rsid w:val="005A1EAD"/>
    <w:rsid w:val="005C1EF8"/>
    <w:rsid w:val="005D15CD"/>
    <w:rsid w:val="005E0BBF"/>
    <w:rsid w:val="006071F6"/>
    <w:rsid w:val="006122F0"/>
    <w:rsid w:val="006330F4"/>
    <w:rsid w:val="0064042F"/>
    <w:rsid w:val="00656D08"/>
    <w:rsid w:val="00672F84"/>
    <w:rsid w:val="00684D24"/>
    <w:rsid w:val="00685ED2"/>
    <w:rsid w:val="006B0FF3"/>
    <w:rsid w:val="006D41F4"/>
    <w:rsid w:val="006D4F16"/>
    <w:rsid w:val="006E1F7A"/>
    <w:rsid w:val="006E5AA9"/>
    <w:rsid w:val="006F3DF8"/>
    <w:rsid w:val="006F63DA"/>
    <w:rsid w:val="006F74D0"/>
    <w:rsid w:val="0070292F"/>
    <w:rsid w:val="00706056"/>
    <w:rsid w:val="00711C4D"/>
    <w:rsid w:val="00736742"/>
    <w:rsid w:val="00784CB8"/>
    <w:rsid w:val="007926D3"/>
    <w:rsid w:val="007B3DCF"/>
    <w:rsid w:val="007C1BD6"/>
    <w:rsid w:val="007D67C9"/>
    <w:rsid w:val="0080464C"/>
    <w:rsid w:val="008063DD"/>
    <w:rsid w:val="00832B72"/>
    <w:rsid w:val="00833B37"/>
    <w:rsid w:val="00834317"/>
    <w:rsid w:val="00835A2D"/>
    <w:rsid w:val="00836FB8"/>
    <w:rsid w:val="008765FE"/>
    <w:rsid w:val="00882A95"/>
    <w:rsid w:val="008A53D5"/>
    <w:rsid w:val="008A5D63"/>
    <w:rsid w:val="008A6BCD"/>
    <w:rsid w:val="008B301B"/>
    <w:rsid w:val="008B535A"/>
    <w:rsid w:val="008B6F66"/>
    <w:rsid w:val="008C282C"/>
    <w:rsid w:val="008C61C6"/>
    <w:rsid w:val="008E0AB6"/>
    <w:rsid w:val="008E0F45"/>
    <w:rsid w:val="008E1C98"/>
    <w:rsid w:val="008F0CF4"/>
    <w:rsid w:val="00903B3E"/>
    <w:rsid w:val="00920B03"/>
    <w:rsid w:val="00925E32"/>
    <w:rsid w:val="009429E2"/>
    <w:rsid w:val="009466BA"/>
    <w:rsid w:val="00951162"/>
    <w:rsid w:val="00951532"/>
    <w:rsid w:val="009652AE"/>
    <w:rsid w:val="00965ED2"/>
    <w:rsid w:val="009661F2"/>
    <w:rsid w:val="0098360E"/>
    <w:rsid w:val="0098432D"/>
    <w:rsid w:val="009910D6"/>
    <w:rsid w:val="009919D3"/>
    <w:rsid w:val="00992C9C"/>
    <w:rsid w:val="009A23DB"/>
    <w:rsid w:val="009A47D2"/>
    <w:rsid w:val="009A50BE"/>
    <w:rsid w:val="009A69D8"/>
    <w:rsid w:val="009B4FBA"/>
    <w:rsid w:val="009E10FA"/>
    <w:rsid w:val="009E15DC"/>
    <w:rsid w:val="009F4853"/>
    <w:rsid w:val="00A02F6E"/>
    <w:rsid w:val="00A06876"/>
    <w:rsid w:val="00A17A21"/>
    <w:rsid w:val="00A217CD"/>
    <w:rsid w:val="00A2439F"/>
    <w:rsid w:val="00A32EE2"/>
    <w:rsid w:val="00A47F54"/>
    <w:rsid w:val="00A57007"/>
    <w:rsid w:val="00A8545F"/>
    <w:rsid w:val="00A97819"/>
    <w:rsid w:val="00A97A65"/>
    <w:rsid w:val="00AB7C8F"/>
    <w:rsid w:val="00AC206B"/>
    <w:rsid w:val="00AC308A"/>
    <w:rsid w:val="00AE1A6F"/>
    <w:rsid w:val="00AE3E7D"/>
    <w:rsid w:val="00B01D42"/>
    <w:rsid w:val="00B05B82"/>
    <w:rsid w:val="00B427DE"/>
    <w:rsid w:val="00B576E6"/>
    <w:rsid w:val="00B62D66"/>
    <w:rsid w:val="00B65360"/>
    <w:rsid w:val="00B75A23"/>
    <w:rsid w:val="00B75DD6"/>
    <w:rsid w:val="00BE247E"/>
    <w:rsid w:val="00BF0BF6"/>
    <w:rsid w:val="00BF6197"/>
    <w:rsid w:val="00BF71C9"/>
    <w:rsid w:val="00C00835"/>
    <w:rsid w:val="00C10076"/>
    <w:rsid w:val="00C10164"/>
    <w:rsid w:val="00C464F2"/>
    <w:rsid w:val="00C46636"/>
    <w:rsid w:val="00C502C1"/>
    <w:rsid w:val="00C72228"/>
    <w:rsid w:val="00C73B77"/>
    <w:rsid w:val="00CA1D42"/>
    <w:rsid w:val="00CA2C14"/>
    <w:rsid w:val="00CA5791"/>
    <w:rsid w:val="00CA67F9"/>
    <w:rsid w:val="00CC744D"/>
    <w:rsid w:val="00CC7A98"/>
    <w:rsid w:val="00CE396D"/>
    <w:rsid w:val="00CF7B38"/>
    <w:rsid w:val="00D1202C"/>
    <w:rsid w:val="00D14E8F"/>
    <w:rsid w:val="00D30188"/>
    <w:rsid w:val="00D4766E"/>
    <w:rsid w:val="00D60DA8"/>
    <w:rsid w:val="00D61484"/>
    <w:rsid w:val="00D77803"/>
    <w:rsid w:val="00D77B11"/>
    <w:rsid w:val="00DB641E"/>
    <w:rsid w:val="00DC7661"/>
    <w:rsid w:val="00DE0314"/>
    <w:rsid w:val="00DF3DD6"/>
    <w:rsid w:val="00DF614A"/>
    <w:rsid w:val="00E0072D"/>
    <w:rsid w:val="00E023D1"/>
    <w:rsid w:val="00E04FD9"/>
    <w:rsid w:val="00E16C1B"/>
    <w:rsid w:val="00E20ABC"/>
    <w:rsid w:val="00E210CC"/>
    <w:rsid w:val="00E31BEB"/>
    <w:rsid w:val="00E36ED9"/>
    <w:rsid w:val="00E50512"/>
    <w:rsid w:val="00E5231A"/>
    <w:rsid w:val="00E54AA9"/>
    <w:rsid w:val="00E77635"/>
    <w:rsid w:val="00E8150C"/>
    <w:rsid w:val="00E83986"/>
    <w:rsid w:val="00E86F70"/>
    <w:rsid w:val="00E950DE"/>
    <w:rsid w:val="00E959B2"/>
    <w:rsid w:val="00EA36B8"/>
    <w:rsid w:val="00EA4780"/>
    <w:rsid w:val="00EA6C3F"/>
    <w:rsid w:val="00EC7D6A"/>
    <w:rsid w:val="00EE4879"/>
    <w:rsid w:val="00F06D4E"/>
    <w:rsid w:val="00F30F80"/>
    <w:rsid w:val="00F52045"/>
    <w:rsid w:val="00F54858"/>
    <w:rsid w:val="00F62BC1"/>
    <w:rsid w:val="00F708C1"/>
    <w:rsid w:val="00F85970"/>
    <w:rsid w:val="00F933D2"/>
    <w:rsid w:val="00F95EF2"/>
    <w:rsid w:val="00F973C4"/>
    <w:rsid w:val="00FA04C4"/>
    <w:rsid w:val="00FA79FD"/>
    <w:rsid w:val="00FB6D86"/>
    <w:rsid w:val="00FC2718"/>
    <w:rsid w:val="00FC6D4E"/>
    <w:rsid w:val="00FD5D57"/>
    <w:rsid w:val="00FE0446"/>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545801807">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863979117">
      <w:bodyDiv w:val="1"/>
      <w:marLeft w:val="0"/>
      <w:marRight w:val="0"/>
      <w:marTop w:val="0"/>
      <w:marBottom w:val="0"/>
      <w:divBdr>
        <w:top w:val="none" w:sz="0" w:space="0" w:color="auto"/>
        <w:left w:val="none" w:sz="0" w:space="0" w:color="auto"/>
        <w:bottom w:val="none" w:sz="0" w:space="0" w:color="auto"/>
        <w:right w:val="none" w:sz="0" w:space="0" w:color="auto"/>
      </w:divBdr>
    </w:div>
    <w:div w:id="909995904">
      <w:bodyDiv w:val="1"/>
      <w:marLeft w:val="0"/>
      <w:marRight w:val="0"/>
      <w:marTop w:val="0"/>
      <w:marBottom w:val="0"/>
      <w:divBdr>
        <w:top w:val="none" w:sz="0" w:space="0" w:color="auto"/>
        <w:left w:val="none" w:sz="0" w:space="0" w:color="auto"/>
        <w:bottom w:val="none" w:sz="0" w:space="0" w:color="auto"/>
        <w:right w:val="none" w:sz="0" w:space="0" w:color="auto"/>
      </w:divBdr>
    </w:div>
    <w:div w:id="1078133391">
      <w:bodyDiv w:val="1"/>
      <w:marLeft w:val="0"/>
      <w:marRight w:val="0"/>
      <w:marTop w:val="0"/>
      <w:marBottom w:val="0"/>
      <w:divBdr>
        <w:top w:val="none" w:sz="0" w:space="0" w:color="auto"/>
        <w:left w:val="none" w:sz="0" w:space="0" w:color="auto"/>
        <w:bottom w:val="none" w:sz="0" w:space="0" w:color="auto"/>
        <w:right w:val="none" w:sz="0" w:space="0" w:color="auto"/>
      </w:divBdr>
    </w:div>
    <w:div w:id="1531920750">
      <w:bodyDiv w:val="1"/>
      <w:marLeft w:val="0"/>
      <w:marRight w:val="0"/>
      <w:marTop w:val="0"/>
      <w:marBottom w:val="0"/>
      <w:divBdr>
        <w:top w:val="none" w:sz="0" w:space="0" w:color="auto"/>
        <w:left w:val="none" w:sz="0" w:space="0" w:color="auto"/>
        <w:bottom w:val="none" w:sz="0" w:space="0" w:color="auto"/>
        <w:right w:val="none" w:sz="0" w:space="0" w:color="auto"/>
      </w:divBdr>
    </w:div>
    <w:div w:id="1709794588">
      <w:bodyDiv w:val="1"/>
      <w:marLeft w:val="0"/>
      <w:marRight w:val="0"/>
      <w:marTop w:val="0"/>
      <w:marBottom w:val="0"/>
      <w:divBdr>
        <w:top w:val="none" w:sz="0" w:space="0" w:color="auto"/>
        <w:left w:val="none" w:sz="0" w:space="0" w:color="auto"/>
        <w:bottom w:val="none" w:sz="0" w:space="0" w:color="auto"/>
        <w:right w:val="none" w:sz="0" w:space="0" w:color="auto"/>
      </w:divBdr>
    </w:div>
    <w:div w:id="20104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4537</Words>
  <Characters>24959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2017-04-27T19:35:00Z</dcterms:created>
  <dcterms:modified xsi:type="dcterms:W3CDTF">2017-04-27T19:35:00Z</dcterms:modified>
</cp:coreProperties>
</file>